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pBdr>
          <w:top w:val="" w:sz="6"/>
          <w:left w:val="" w:sz="6"/>
          <w:bottom w:val="" w:sz="6"/>
          <w:right w:val="" w:sz="6"/>
        </w:pBdr>
      </w:pPr>
      <w:r>
        <w:rPr>
          <w:b/>
        </w:rPr>
        <w:t/>
      </w:r>
    </w:p>
    <w:p>
      <w:pPr>
        <w:jc w:val="center"/>
        <w:widowControl/>
      </w:pPr>
      <w:r>
        <w:rPr>
          <w:rFonts w:ascii="Consolas" w:hAnsi="Consolas" w:cs="Consolas" w:eastAsia="Consolas"/>
          <w:b/>
          <w:u w:val="single"/>
          <w:sz w:val="18"/>
        </w:rPr>
        <w:t>ATA DE SESSÃO PÚBLICA</w:t>
      </w:r>
    </w:p>
    <w:p>
      <w:pPr>
        <w:jc w:val="center"/>
        <w:widowControl/>
      </w:pPr>
      <w:r>
        <w:rPr>
          <w:rFonts w:ascii="Consolas" w:hAnsi="Consolas" w:cs="Consolas" w:eastAsia="Consolas"/>
          <w:sz w:val="18"/>
        </w:rPr>
        <w:t>2023</w:t>
      </w:r>
    </w:p>
    <w:p>
      <w:pPr>
        <w:jc w:val="center"/>
        <w:widowControl/>
      </w:pPr>
      <w:r>
        <w:rPr>
          <w:rFonts w:ascii="CONSOLAS" w:hAnsi="CONSOLAS" w:cs="CONSOLAS" w:eastAsia="CONSOLAS"/>
          <w:sz w:val="22"/>
        </w:rPr>
        <w:t/>
      </w:r>
    </w:p>
    <w:p>
      <w:pPr>
        <w:jc w:val="both"/>
        <w:widowControl/>
      </w:pPr>
      <w:r>
        <w:rPr>
          <w:rFonts w:ascii="CONSOLAS" w:hAnsi="CONSOLAS" w:cs="CONSOLAS" w:eastAsia="CONSOLAS"/>
          <w:b/>
          <w:u w:val="single"/>
          <w:sz w:val="22"/>
        </w:rPr>
        <w:t>Processo</w:t>
      </w:r>
      <w:r>
        <w:rPr>
          <w:rFonts w:ascii="CONSOLAS" w:hAnsi="CONSOLAS" w:cs="CONSOLAS" w:eastAsia="CONSOLAS"/>
          <w:b/>
          <w:sz w:val="22"/>
        </w:rPr>
        <w:t xml:space="preserve"> </w:t>
      </w:r>
      <w:r>
        <w:rPr>
          <w:rFonts w:ascii="CONSOLAS" w:hAnsi="CONSOLAS" w:cs="CONSOLAS" w:eastAsia="CONSOLAS"/>
          <w:b/>
          <w:u w:val="single"/>
          <w:sz w:val="22"/>
        </w:rPr>
        <w:t>Licitatório</w:t>
      </w:r>
      <w:r>
        <w:rPr>
          <w:rFonts w:ascii="CONSOLAS" w:hAnsi="CONSOLAS" w:cs="CONSOLAS" w:eastAsia="CONSOLAS"/>
          <w:b/>
          <w:sz w:val="22"/>
        </w:rPr>
        <w:t xml:space="preserve"> n.º </w:t>
      </w:r>
      <w:r>
        <w:rPr>
          <w:rFonts w:ascii="CONSOLAS" w:hAnsi="CONSOLAS" w:cs="CONSOLAS" w:eastAsia="CONSOLAS"/>
          <w:sz w:val="22"/>
        </w:rPr>
        <w:t>4/23</w:t>
      </w:r>
    </w:p>
    <w:p>
      <w:pPr>
        <w:jc w:val="both"/>
        <w:widowControl/>
      </w:pPr>
      <w:r>
        <w:rPr>
          <w:rFonts w:ascii="CONSOLAS" w:hAnsi="CONSOLAS" w:cs="CONSOLAS" w:eastAsia="CONSOLAS"/>
          <w:b/>
          <w:u w:val="single"/>
          <w:sz w:val="22"/>
        </w:rPr>
        <w:t>Modalidade</w:t>
      </w:r>
      <w:r>
        <w:rPr>
          <w:rFonts w:ascii="CONSOLAS" w:hAnsi="CONSOLAS" w:cs="CONSOLAS" w:eastAsia="CONSOLAS"/>
          <w:sz w:val="22"/>
        </w:rPr>
        <w:t>: TOMADA DE PREÇO n.º 1/2023</w:t>
      </w:r>
    </w:p>
    <w:p>
      <w:pPr>
        <w:jc w:val="both"/>
        <w:widowControl/>
      </w:pPr>
      <w:r>
        <w:rPr>
          <w:rFonts w:ascii="CONSOLAS" w:hAnsi="CONSOLAS" w:cs="CONSOLAS" w:eastAsia="CONSOLAS"/>
          <w:b/>
          <w:u w:val="single"/>
          <w:sz w:val="22"/>
        </w:rPr>
        <w:t>Sessão</w:t>
      </w:r>
      <w:r>
        <w:rPr>
          <w:rFonts w:ascii="CONSOLAS" w:hAnsi="CONSOLAS" w:cs="CONSOLAS" w:eastAsia="CONSOLAS"/>
          <w:b/>
          <w:sz w:val="22"/>
        </w:rPr>
        <w:t xml:space="preserve">: </w:t>
      </w:r>
      <w:r>
        <w:rPr>
          <w:rFonts w:ascii="CONSOLAS" w:hAnsi="CONSOLAS" w:cs="CONSOLAS" w:eastAsia="CONSOLAS"/>
          <w:sz w:val="22"/>
        </w:rPr>
        <w:t>2</w:t>
      </w:r>
    </w:p>
    <w:p>
      <w:pPr>
        <w:jc w:val="both"/>
        <w:widowControl/>
      </w:pPr>
      <w:r>
        <w:rPr>
          <w:rFonts w:ascii="CONSOLAS" w:hAnsi="CONSOLAS" w:cs="CONSOLAS" w:eastAsia="CONSOLAS"/>
          <w:b/>
          <w:u w:val="single"/>
          <w:sz w:val="22"/>
        </w:rPr>
        <w:t>Objeto</w:t>
      </w:r>
      <w:r>
        <w:rPr>
          <w:rFonts w:ascii="CONSOLAS" w:hAnsi="CONSOLAS" w:cs="CONSOLAS" w:eastAsia="CONSOLAS"/>
          <w:sz w:val="22"/>
        </w:rPr>
        <w:t xml:space="preserve">: </w:t>
      </w:r>
      <w:r>
        <w:rPr>
          <w:rFonts w:ascii="CONSOLAS" w:hAnsi="CONSOLAS" w:cs="CONSOLAS" w:eastAsia="CONSOLAS"/>
          <w:b/>
          <w:sz w:val="22"/>
        </w:rPr>
        <w:t>CONTRATAÇÃO DE EMPRESA ESPECIALIZADA PARA EXECUÇÃO DE OBRAS DE REFORMA DA  PRAÇA CLEMENTINA, EM TAGUAÍ-SP, CONFORME TERMO DE CONVÊNIO Nº 101.861/2022.</w:t>
      </w:r>
    </w:p>
    <w:p>
      <w:pPr>
        <w:jc w:val="both"/>
        <w:widowControl/>
      </w:pPr>
      <w:r>
        <w:rPr>
          <w:rFonts w:ascii="CONSOLAS" w:hAnsi="CONSOLAS" w:cs="CONSOLAS" w:eastAsia="CONSOLAS"/>
          <w:sz w:val="22"/>
        </w:rPr>
        <w:t/>
      </w:r>
    </w:p>
    <w:p>
      <w:pPr>
        <w:jc w:val="both"/>
        <w:widowControl/>
      </w:pPr>
      <w:r>
        <w:rPr>
          <w:rFonts w:ascii="CONSOLAS" w:hAnsi="CONSOLAS" w:cs="CONSOLAS" w:eastAsia="CONSOLAS"/>
          <w:sz w:val="22"/>
        </w:rPr>
        <w:t/>
      </w:r>
    </w:p>
    <w:p>
      <w:pPr>
        <w:jc w:val="both"/>
        <w:widowControl/>
        <w:spacing w:after="160"/>
      </w:pPr>
      <w:r>
        <w:rPr>
          <w:rFonts w:ascii="CONSOLAS" w:hAnsi="CONSOLAS" w:cs="CONSOLAS" w:eastAsia="CONSOLAS"/>
          <w:b/>
          <w:sz w:val="22"/>
        </w:rPr>
        <w:t>ATA SESSÃO Nº 02 DE 29/03/2023.</w:t>
      </w:r>
    </w:p>
    <w:p>
      <w:pPr>
        <w:jc w:val="both"/>
        <w:pBdr>
          <w:top w:val="" w:sz="6"/>
          <w:left w:val="" w:sz="6"/>
          <w:bottom w:val="" w:sz="6"/>
          <w:right w:val="" w:sz="6"/>
        </w:pBdr>
      </w:pPr>
      <w:r>
        <w:rPr>
          <w:rFonts w:ascii="CONSOLAS" w:hAnsi="CONSOLAS" w:cs="CONSOLAS" w:eastAsia="CONSOLAS"/>
          <w:sz w:val="22"/>
        </w:rPr>
        <w:t xml:space="preserve">Às 9h, do dia 29 de março de 2023, na sala de reuniões da PREFEITURA MUNICIPAL DE TAGUAÍ, situada na PÇ EXP. ROMANO DE OLIVEIRA, 44, nesta cidade de Taguaí, comarca de Fartura, Estado de São Paulo, reuniram-se, em sessão pública, os membros da Comissão Permanente de Licitação, Geraldo Luis Benedito Boranga, Elidiane Maria Ribeiro da Silva e Bárbara Tereza de Mello, sob a presidência do primeiro, todos nomeados através de portaria, com a finalidade de receber as razões de recursos apresentadas pela empresa J. MORAES CONSTRUÇÕES LTDA, CNPJ: 41.998.886/0001-91 e fixar a abertura do prazo de apresentação das contrarrazões recursais. Iniciando-se os trabalhos, o presidente pediu para que se registrasse em ata que a empresa J. MORAES CONSTRUÇÕES LTDA, CNPJ: 41.998.886/0001-91, única participante, não se fez representada nesta sessão. O presidente informou que a empresa J. MORAES CONSTRUÇÕES LTDA, CNPJ: 41.998.886/0001-91, apresentou as razões do recurso em 20/03/2023, protocolada no 21/03/2023 sob o número 1092/2023. O presidente acolheu as razões do recurso, considerando serem admissíveis, de direito e tempestivas e, antes de conhecê-las, decidiu publicá-las para que se que exerça o direito constitucional do contraditório e ampla defesa. Determinou que constasse em Anexo fac símile das razões do recurso. Por fim, o presidente declarou encerrada a sessão, lavrou a presente ata que será encaminhada ao licitante via endereço eletrônico e determinou a inserção da presente ata no site oficial do Município de Taguaí, a saber: </w:t>
      </w:r>
      <w:hyperlink r:id="hrId1">
        <w:r>
          <w:rPr>
            <w:rFonts w:ascii="CONSOLAS" w:hAnsi="CONSOLAS" w:cs="CONSOLAS" w:eastAsia="CONSOLAS"/>
            <w:u w:val="single"/>
            <w:sz w:val="22"/>
            <w:color w:val="0000FF"/>
          </w:rPr>
          <w:t>www.taguai.sp.gov.br</w:t>
        </w:r>
      </w:hyperlink>
      <w:r>
        <w:rPr>
          <w:rFonts w:ascii="CONSOLAS" w:hAnsi="CONSOLAS" w:cs="CONSOLAS" w:eastAsia="CONSOLAS"/>
          <w:sz w:val="22"/>
        </w:rPr>
        <w:t xml:space="preserve"> e o extrato publicado nos mesmos meios que se deu a divulgação inicial: abriu prazo de cinco dias úteis para que os interessados no certame possam ofertar as contrarrazões, se assim acharem conveniente.</w:t>
      </w:r>
    </w:p>
    <w:p>
      <w:pPr>
        <w:jc w:val="both"/>
        <w:widowControl/>
      </w:pPr>
      <w:r>
        <w:rPr>
          <w:rFonts w:ascii="Consolas" w:hAnsi="Consolas" w:cs="Consolas" w:eastAsia="Consolas"/>
          <w:b/>
          <w:u w:val="single"/>
          <w:sz w:val="18"/>
        </w:rPr>
        <w:t>SESSÃO</w:t>
      </w:r>
      <w:r>
        <w:br/>
      </w:r>
      <w:r>
        <w:rPr>
          <w:rFonts w:ascii="Consolas" w:hAnsi="Consolas" w:cs="Consolas" w:eastAsia="Consolas"/>
          <w:sz w:val="18"/>
        </w:rPr>
        <w:t>2| receber recurso e abrir prazo de contrarrazão | 29 de março de 2023 | 09:00 | 09:30 | PAÇO MUNICIPAL - SALA DE REUNIÃO.</w:t>
      </w:r>
    </w:p>
    <w:p>
      <w:pPr>
        <w:jc w:val="both"/>
        <w:widowControl/>
      </w:pPr>
      <w:r>
        <w:rPr>
          <w:rFonts w:ascii="Consolas" w:hAnsi="Consolas" w:cs="Consolas" w:eastAsia="Consolas"/>
          <w:sz w:val="18"/>
        </w:rPr>
        <w:t/>
      </w:r>
    </w:p>
    <w:p>
      <w:pPr>
        <w:jc w:val="both"/>
        <w:widowControl/>
      </w:pPr>
      <w:r>
        <w:rPr>
          <w:rFonts w:ascii="CONSOLAS" w:hAnsi="CONSOLAS" w:cs="CONSOLAS" w:eastAsia="CONSOLAS"/>
          <w:sz w:val="22"/>
        </w:rPr>
        <w:t>Geraldo Luis Benedito Boranga..............................................</w:t>
      </w:r>
    </w:p>
    <w:p>
      <w:pPr>
        <w:jc w:val="both"/>
        <w:widowControl/>
      </w:pPr>
      <w:r>
        <w:rPr>
          <w:rFonts w:ascii="CONSOLAS" w:hAnsi="CONSOLAS" w:cs="CONSOLAS" w:eastAsia="CONSOLAS"/>
          <w:sz w:val="22"/>
        </w:rPr>
        <w:t/>
      </w:r>
    </w:p>
    <w:p>
      <w:pPr>
        <w:jc w:val="both"/>
        <w:widowControl/>
      </w:pPr>
      <w:r>
        <w:rPr>
          <w:rFonts w:ascii="CONSOLAS" w:hAnsi="CONSOLAS" w:cs="CONSOLAS" w:eastAsia="CONSOLAS"/>
          <w:sz w:val="22"/>
        </w:rPr>
        <w:t xml:space="preserve">Elidiane Maria Ribeiro da Silva............................................ </w:t>
      </w:r>
    </w:p>
    <w:p>
      <w:pPr>
        <w:jc w:val="both"/>
        <w:widowControl/>
      </w:pPr>
      <w:r>
        <w:rPr>
          <w:rFonts w:ascii="CONSOLAS" w:hAnsi="CONSOLAS" w:cs="CONSOLAS" w:eastAsia="CONSOLAS"/>
          <w:sz w:val="22"/>
        </w:rPr>
        <w:t/>
      </w:r>
    </w:p>
    <w:p>
      <w:pPr>
        <w:jc w:val="both"/>
        <w:widowControl/>
      </w:pPr>
      <w:r>
        <w:rPr>
          <w:rFonts w:ascii="CONSOLAS" w:hAnsi="CONSOLAS" w:cs="CONSOLAS" w:eastAsia="CONSOLAS"/>
          <w:sz w:val="22"/>
        </w:rPr>
        <w:t>Bárbara Tereza de Mello....................................................</w:t>
      </w:r>
    </w:p>
    <w:p>
      <w:pPr>
        <w:jc w:val="both"/>
        <w:widowControl/>
      </w:pPr>
      <w:r>
        <w:rPr>
          <w:b/>
          <w:sz w:val="18"/>
        </w:rPr>
        <w:t/>
      </w:r>
    </w:p>
    <w:p>
      <w:pPr>
        <w:spacing w:after="195" w:lineRule="auto" w:line="276"/>
      </w:pPr>
      <w:r>
        <w:rPr>
          <w:rFonts w:ascii="Calibri" w:hAnsi="Calibri" w:cs="Calibri" w:eastAsia="Calibri"/>
          <w:sz w:val="22"/>
        </w:rPr>
        <w:t/>
      </w:r>
    </w:p>
    <w:p>
      <w:pPr>
        <w:spacing w:after="195" w:lineRule="auto" w:line="276"/>
      </w:pPr>
      <w:r>
        <w:rPr>
          <w:rFonts w:ascii="Calibri" w:hAnsi="Calibri" w:cs="Calibri" w:eastAsia="Calibri"/>
          <w:sz w:val="22"/>
        </w:rPr>
        <w:t/>
      </w:r>
    </w:p>
    <w:p>
      <w:pPr>
        <w:spacing w:after="195" w:lineRule="auto" w:line="276"/>
      </w:pPr>
      <w:r>
        <w:rPr>
          <w:rFonts w:ascii="Calibri" w:hAnsi="Calibri" w:cs="Calibri" w:eastAsia="Calibri"/>
          <w:sz w:val="22"/>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Arial">
    <w:charset w:val="00"/>
  </w:font>
  <w:font w:name="Calibri">
    <w:charset w:val="00"/>
  </w:font>
  <w:font w:name="CONSOLAS">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r>
      <w:t xml:space="preserve"> </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20"/>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 Id="hrId1" Type="http://schemas.openxmlformats.org/officeDocument/2006/relationships/hyperlink" Target="www.taguai.sp.gov.br" TargetMode="Externa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